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rFonts w:ascii="Liberation Serif" w:hAnsi="Liberation Serif"/>
          <w:b/>
          <w:lang w:val="en-US"/>
        </w:rPr>
      </w:pPr>
      <w:r>
        <w:rPr>
          <w:rFonts w:ascii="Liberation Serif" w:hAnsi="Liberation Serif"/>
          <w:b/>
          <w:lang w:val="en-US"/>
        </w:rPr>
        <w:t>Sermon Discussion Questions &amp; Follow-up Notes</w:t>
      </w:r>
    </w:p>
    <w:p>
      <w:pPr>
        <w:pStyle w:val="Normal"/>
        <w:bidi w:val="0"/>
        <w:spacing w:lineRule="auto" w:line="240"/>
        <w:jc w:val="center"/>
        <w:rPr>
          <w:rFonts w:ascii="Liberation Serif" w:hAnsi="Liberation Serif"/>
          <w:b/>
          <w:lang w:val="en-US"/>
        </w:rPr>
      </w:pPr>
      <w:r>
        <w:rPr>
          <w:rFonts w:ascii="Liberation Serif" w:hAnsi="Liberation Serif"/>
          <w:b/>
          <w:lang w:val="en-US"/>
        </w:rPr>
        <w:t>April 20</w:t>
      </w:r>
      <w:r>
        <w:rPr>
          <w:rFonts w:ascii="Liberation Serif" w:hAnsi="Liberation Serif"/>
          <w:b/>
          <w:lang w:val="en-US"/>
        </w:rPr>
        <w:t>, 202</w:t>
      </w:r>
      <w:r>
        <w:rPr>
          <w:rFonts w:ascii="Liberation Serif" w:hAnsi="Liberation Serif"/>
          <w:b/>
          <w:lang w:val="en-US"/>
        </w:rPr>
        <w:t>5</w:t>
      </w:r>
    </w:p>
    <w:p>
      <w:pPr>
        <w:pStyle w:val="Normal"/>
        <w:bidi w:val="0"/>
        <w:spacing w:lineRule="auto" w:line="240"/>
        <w:jc w:val="center"/>
        <w:rPr>
          <w:rFonts w:ascii="Liberation Serif" w:hAnsi="Liberation Serif"/>
          <w:b/>
          <w:lang w:val="en-US"/>
        </w:rPr>
      </w:pPr>
      <w:r>
        <w:rPr>
          <w:rFonts w:ascii="Liberation Serif" w:hAnsi="Liberation Serif"/>
          <w:b/>
          <w:lang w:val="en-US"/>
        </w:rPr>
        <w:t xml:space="preserve">Pastor </w:t>
      </w:r>
      <w:r>
        <w:rPr>
          <w:rFonts w:ascii="Liberation Serif" w:hAnsi="Liberation Serif"/>
          <w:b/>
          <w:lang w:val="en-US"/>
        </w:rPr>
        <w:t>Andrew Keuer (andrew@firstprotestant.com)</w:t>
      </w:r>
    </w:p>
    <w:p>
      <w:pPr>
        <w:pStyle w:val="Normal"/>
        <w:bidi w:val="0"/>
        <w:spacing w:lineRule="auto" w:line="240"/>
        <w:jc w:val="center"/>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lang w:val="en-US"/>
        </w:rPr>
      </w:pPr>
      <w:r>
        <w:rPr>
          <w:rFonts w:ascii="Liberation Serif" w:hAnsi="Liberation Serif"/>
          <w:lang w:val="en-US"/>
        </w:rPr>
        <w:t xml:space="preserve">Sermon Text:    </w:t>
      </w:r>
      <w:r>
        <w:rPr>
          <w:rFonts w:ascii="Liberation Serif" w:hAnsi="Liberation Serif"/>
          <w:lang w:val="en-US"/>
        </w:rPr>
        <w:t>Luke 11:33-36 (with Luke 24:1-12 as background)</w:t>
      </w:r>
    </w:p>
    <w:p>
      <w:pPr>
        <w:pStyle w:val="Normal"/>
        <w:bidi w:val="0"/>
        <w:spacing w:lineRule="auto" w:line="240"/>
        <w:jc w:val="left"/>
        <w:rPr>
          <w:rFonts w:ascii="Liberation Serif" w:hAnsi="Liberation Serif"/>
          <w:lang w:val="en-US"/>
        </w:rPr>
      </w:pPr>
      <w:r>
        <w:rPr>
          <w:rFonts w:ascii="Liberation Serif" w:hAnsi="Liberation Serif"/>
          <w:lang w:val="en-US"/>
        </w:rPr>
        <w:t>Series:    “</w:t>
      </w:r>
      <w:r>
        <w:rPr>
          <w:rFonts w:ascii="Liberation Serif" w:hAnsi="Liberation Serif"/>
          <w:lang w:val="en-US"/>
        </w:rPr>
        <w:t>Steps on the Narrow Way</w:t>
      </w:r>
      <w:r>
        <w:rPr>
          <w:rFonts w:ascii="Liberation Serif" w:hAnsi="Liberation Serif"/>
          <w:lang w:val="en-US"/>
        </w:rPr>
        <w:t>...” //    Sermon Title:    “...</w:t>
      </w:r>
      <w:r>
        <w:rPr>
          <w:rFonts w:ascii="Liberation Serif" w:hAnsi="Liberation Serif"/>
          <w:lang w:val="en-US"/>
        </w:rPr>
        <w:t>Eyes Full of Light</w:t>
      </w:r>
      <w:r>
        <w:rPr>
          <w:rFonts w:ascii="Liberation Serif" w:hAnsi="Liberation Serif"/>
          <w:lang w:val="en-US"/>
        </w:rPr>
        <w:t>”</w:t>
      </w:r>
    </w:p>
    <w:p>
      <w:pPr>
        <w:pStyle w:val="Normal"/>
        <w:bidi w:val="0"/>
        <w:spacing w:lineRule="auto" w:line="240"/>
        <w:jc w:val="left"/>
        <w:rPr>
          <w:rFonts w:ascii="Liberation Serif" w:hAnsi="Liberation Serif"/>
          <w:lang w:val="en-US"/>
        </w:rPr>
      </w:pPr>
      <w:r>
        <w:rPr>
          <w:rFonts w:ascii="Liberation Serif" w:hAnsi="Liberation Serif"/>
          <w:lang w:val="en-US"/>
        </w:rPr>
        <w:t xml:space="preserve">Link to sermon:  </w:t>
      </w:r>
      <w:hyperlink r:id="rId2">
        <w:r>
          <w:rPr>
            <w:rStyle w:val="Hyperlink"/>
            <w:rFonts w:ascii="Liberation Serif" w:hAnsi="Liberation Serif"/>
            <w:lang w:val="en-US"/>
          </w:rPr>
          <w:t>https://youtu.be/75143mswKJk?t=1639</w:t>
        </w:r>
      </w:hyperlink>
      <w:r>
        <w:rPr>
          <w:rFonts w:ascii="Liberation Serif" w:hAnsi="Liberation Serif"/>
          <w:lang w:val="en-US"/>
        </w:rPr>
        <w:t xml:space="preserve"> </w:t>
      </w:r>
    </w:p>
    <w:p>
      <w:pPr>
        <w:pStyle w:val="Normal"/>
        <w:bidi w:val="0"/>
        <w:spacing w:lineRule="auto" w:line="240"/>
        <w:jc w:val="left"/>
        <w:rPr>
          <w:rFonts w:ascii="Liberation Serif" w:hAnsi="Liberation Serif"/>
          <w:lang w:val="en-US"/>
        </w:rPr>
      </w:pPr>
      <w:r>
        <w:rPr>
          <w:rFonts w:ascii="Liberation Serif" w:hAnsi="Liberation Serif"/>
          <w:lang w:val="en-US"/>
        </w:rPr>
      </w:r>
    </w:p>
    <w:p>
      <w:pPr>
        <w:pStyle w:val="Normal"/>
        <w:bidi w:val="0"/>
        <w:spacing w:lineRule="auto" w:line="240"/>
        <w:jc w:val="center"/>
        <w:rPr>
          <w:rFonts w:ascii="Liberation Serif" w:hAnsi="Liberation Serif"/>
          <w:u w:val="single"/>
          <w:lang w:val="en-US"/>
        </w:rPr>
      </w:pPr>
      <w:r>
        <w:rPr>
          <w:rFonts w:ascii="Liberation Serif" w:hAnsi="Liberation Serif"/>
          <w:u w:val="single"/>
          <w:lang w:val="en-US"/>
        </w:rPr>
        <w:t>Key Points &amp; Observations of the Text</w:t>
      </w:r>
    </w:p>
    <w:p>
      <w:pPr>
        <w:pStyle w:val="Normal"/>
        <w:bidi w:val="0"/>
        <w:spacing w:lineRule="auto" w:line="240"/>
        <w:jc w:val="left"/>
        <w:rPr>
          <w:rFonts w:ascii="Liberation Serif" w:hAnsi="Liberation Serif"/>
          <w:b/>
          <w:lang w:val="en-US"/>
        </w:rPr>
      </w:pPr>
      <w:r>
        <w:rPr>
          <w:rFonts w:ascii="Liberation Serif" w:hAnsi="Liberation Serif"/>
          <w:b/>
          <w:lang w:val="en-US"/>
        </w:rPr>
        <w:t>Opening Discussion</w:t>
      </w:r>
    </w:p>
    <w:p>
      <w:pPr>
        <w:pStyle w:val="Normal"/>
        <w:numPr>
          <w:ilvl w:val="0"/>
          <w:numId w:val="3"/>
        </w:numPr>
        <w:bidi w:val="0"/>
        <w:spacing w:lineRule="auto" w:line="240"/>
        <w:jc w:val="left"/>
        <w:rPr>
          <w:rFonts w:ascii="Liberation Serif" w:hAnsi="Liberation Serif"/>
          <w:b w:val="false"/>
          <w:bCs w:val="false"/>
          <w:lang w:val="en-US"/>
        </w:rPr>
      </w:pPr>
      <w:r>
        <w:rPr>
          <w:rFonts w:ascii="Liberation Serif" w:hAnsi="Liberation Serif"/>
          <w:b w:val="false"/>
          <w:bCs w:val="false"/>
          <w:lang w:val="en-US"/>
        </w:rPr>
        <w:t>What was most special about this Holy Week &amp; Easter season for your faith?  How did God instruct, encourage and develop your love of Him in this past two weeks?</w:t>
      </w:r>
    </w:p>
    <w:p>
      <w:pPr>
        <w:pStyle w:val="Normal"/>
        <w:bidi w:val="0"/>
        <w:spacing w:lineRule="auto" w:line="240"/>
        <w:jc w:val="left"/>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b/>
          <w:lang w:val="en-US"/>
        </w:rPr>
      </w:pPr>
      <w:r>
        <w:rPr>
          <w:rFonts w:ascii="Liberation Serif" w:hAnsi="Liberation Serif"/>
          <w:b/>
          <w:lang w:val="en-US"/>
        </w:rPr>
        <w:t>Easter’s Central Claim:  People Saw the Resurrected Christ!</w:t>
      </w:r>
    </w:p>
    <w:p>
      <w:pPr>
        <w:pStyle w:val="Normal"/>
        <w:numPr>
          <w:ilvl w:val="0"/>
          <w:numId w:val="4"/>
        </w:numPr>
        <w:bidi w:val="0"/>
        <w:spacing w:lineRule="auto" w:line="240"/>
        <w:jc w:val="left"/>
        <w:rPr>
          <w:rFonts w:ascii="Liberation Serif" w:hAnsi="Liberation Serif"/>
          <w:b/>
          <w:lang w:val="en-US"/>
        </w:rPr>
      </w:pPr>
      <w:r>
        <w:rPr>
          <w:rFonts w:ascii="Liberation Serif" w:hAnsi="Liberation Serif"/>
          <w:b w:val="false"/>
          <w:bCs w:val="false"/>
          <w:sz w:val="24"/>
          <w:lang w:val="en-US"/>
        </w:rPr>
        <w:t>At the heart of the Easter faith is the testimony of those who knew Christ before and saw Him again, to their great surprise, after He was resurrected.</w:t>
      </w:r>
    </w:p>
    <w:p>
      <w:pPr>
        <w:pStyle w:val="Normal"/>
        <w:numPr>
          <w:ilvl w:val="0"/>
          <w:numId w:val="4"/>
        </w:numPr>
        <w:bidi w:val="0"/>
        <w:spacing w:lineRule="auto" w:line="240"/>
        <w:jc w:val="left"/>
        <w:rPr>
          <w:rFonts w:ascii="Liberation Serif" w:hAnsi="Liberation Serif"/>
          <w:b/>
          <w:lang w:val="en-US"/>
        </w:rPr>
      </w:pPr>
      <w:r>
        <w:rPr>
          <w:rFonts w:ascii="Liberation Serif" w:hAnsi="Liberation Serif"/>
          <w:b w:val="false"/>
          <w:bCs w:val="false"/>
          <w:sz w:val="24"/>
          <w:lang w:val="en-US"/>
        </w:rPr>
        <w:t>What kind of vision did these first witnesses to the resurrected Christ have?</w:t>
      </w:r>
    </w:p>
    <w:p>
      <w:pPr>
        <w:pStyle w:val="Normal"/>
        <w:numPr>
          <w:ilvl w:val="0"/>
          <w:numId w:val="4"/>
        </w:numPr>
        <w:bidi w:val="0"/>
        <w:spacing w:lineRule="auto" w:line="240"/>
        <w:jc w:val="left"/>
        <w:rPr>
          <w:rFonts w:ascii="Liberation Serif" w:hAnsi="Liberation Serif"/>
          <w:b/>
          <w:lang w:val="en-US"/>
        </w:rPr>
      </w:pPr>
      <w:r>
        <w:rPr>
          <w:rFonts w:ascii="Liberation Serif" w:hAnsi="Liberation Serif"/>
          <w:b/>
          <w:bCs/>
          <w:sz w:val="24"/>
          <w:lang w:val="en-US"/>
        </w:rPr>
        <w:t>Explanation #1:  Hallucinations?</w:t>
      </w:r>
      <w:r>
        <w:rPr>
          <w:rFonts w:ascii="Liberation Serif" w:hAnsi="Liberation Serif"/>
          <w:sz w:val="24"/>
          <w:lang w:val="en-US"/>
        </w:rPr>
        <w:t xml:space="preserve">  One option that is often mentioned by skeptics of Christian claims is that these first follows hallucinated.  That is, this view tries to say that the followers were sincere but greatly deluded:  perhaps the emotional stress and psychological trauma of losing their friend in such a violent manner left them disoriented.  And out of that disorientation, perhaps they wanted to see and hear from Jesus so badly that they had a day-dream of His presence among them.</w:t>
      </w:r>
    </w:p>
    <w:p>
      <w:pPr>
        <w:pStyle w:val="Normal"/>
        <w:numPr>
          <w:ilvl w:val="1"/>
          <w:numId w:val="4"/>
        </w:numPr>
        <w:bidi w:val="0"/>
        <w:spacing w:lineRule="auto" w:line="240"/>
        <w:jc w:val="left"/>
        <w:rPr>
          <w:rFonts w:ascii="Liberation Serif" w:hAnsi="Liberation Serif"/>
          <w:b/>
          <w:lang w:val="en-US"/>
        </w:rPr>
      </w:pPr>
      <w:r>
        <w:rPr>
          <w:rFonts w:ascii="Liberation Serif" w:hAnsi="Liberation Serif"/>
          <w:b/>
          <w:bCs/>
          <w:sz w:val="24"/>
          <w:lang w:val="en-US"/>
        </w:rPr>
        <w:t xml:space="preserve">Analysis of #1:  </w:t>
      </w:r>
      <w:r>
        <w:rPr>
          <w:rFonts w:ascii="Liberation Serif" w:hAnsi="Liberation Serif"/>
          <w:sz w:val="24"/>
          <w:lang w:val="en-US"/>
        </w:rPr>
        <w:t>This explanation is inadequate in several ways.  First, people are typically embarrassed of their hallucinations, worrying that others will think them crazy.  People typically keep hallucinations to themselves.  But these first witnesses of Christ’s resurrection did the opposite – they boldly shared with one and all, and insisted on what they saw even after being mocked and misunderstood!  See Luke 24:9-11, for example.</w:t>
      </w:r>
    </w:p>
    <w:p>
      <w:pPr>
        <w:pStyle w:val="Normal"/>
        <w:numPr>
          <w:ilvl w:val="0"/>
          <w:numId w:val="4"/>
        </w:numPr>
        <w:bidi w:val="0"/>
        <w:spacing w:lineRule="auto" w:line="240"/>
        <w:jc w:val="left"/>
        <w:rPr>
          <w:rFonts w:ascii="Liberation Serif" w:hAnsi="Liberation Serif"/>
          <w:b/>
          <w:lang w:val="en-US"/>
        </w:rPr>
      </w:pPr>
      <w:r>
        <w:rPr>
          <w:rFonts w:ascii="Liberation Serif" w:hAnsi="Liberation Serif"/>
          <w:b/>
          <w:bCs/>
          <w:sz w:val="24"/>
          <w:lang w:val="en-US"/>
        </w:rPr>
        <w:t>Explanation #2:  Physical encounter?</w:t>
      </w:r>
      <w:r>
        <w:rPr>
          <w:rFonts w:ascii="Liberation Serif" w:hAnsi="Liberation Serif"/>
          <w:sz w:val="24"/>
          <w:lang w:val="en-US"/>
        </w:rPr>
        <w:t xml:space="preserve">  This option swings to the opposite side of the spectrum and claims that anybody who was standing next to these original witnesses would have seen the risen Christ and believed.  This view says that seeing the risen Christ was merely a photon-phenomenon, with exactly the same physics at play as when you see a chocolate-glazed rainbow-sprinkle donut.</w:t>
      </w:r>
    </w:p>
    <w:p>
      <w:pPr>
        <w:pStyle w:val="Normal"/>
        <w:numPr>
          <w:ilvl w:val="1"/>
          <w:numId w:val="4"/>
        </w:numPr>
        <w:bidi w:val="0"/>
        <w:spacing w:lineRule="auto" w:line="240"/>
        <w:jc w:val="left"/>
        <w:rPr>
          <w:rFonts w:ascii="Liberation Serif" w:hAnsi="Liberation Serif"/>
          <w:b/>
          <w:lang w:val="en-US"/>
        </w:rPr>
      </w:pPr>
      <w:r>
        <w:rPr>
          <w:rFonts w:ascii="Liberation Serif" w:hAnsi="Liberation Serif"/>
          <w:b/>
          <w:bCs/>
          <w:sz w:val="24"/>
          <w:lang w:val="en-US"/>
        </w:rPr>
        <w:t>Analysis of #2:</w:t>
      </w:r>
      <w:r>
        <w:rPr>
          <w:rFonts w:ascii="Liberation Serif" w:hAnsi="Liberation Serif"/>
          <w:sz w:val="24"/>
          <w:lang w:val="en-US"/>
        </w:rPr>
        <w:t xml:space="preserve">  The problem with this view is that it is reductive.  It seems to imply that the resurrection was merely an external sign that anyone would see and believe.  However, in Luke 11:29, Jesus says only an evil generation bases their faith on an external sign.</w:t>
      </w:r>
    </w:p>
    <w:p>
      <w:pPr>
        <w:pStyle w:val="BulletList"/>
        <w:numPr>
          <w:ilvl w:val="0"/>
          <w:numId w:val="1"/>
        </w:numPr>
        <w:bidi w:val="0"/>
        <w:spacing w:lineRule="auto" w:line="240"/>
        <w:jc w:val="left"/>
        <w:rPr>
          <w:lang w:val="en-US"/>
        </w:rPr>
      </w:pPr>
      <w:r>
        <w:rPr>
          <w:sz w:val="24"/>
          <w:lang w:val="en-US"/>
        </w:rPr>
        <w:t>It is in the parables of 11:33-36 that Jesus tells us what kind of vision is involved in seeing the risen Christ.  We see in these verses a negative injunction and a positive expectation.</w:t>
      </w:r>
    </w:p>
    <w:p>
      <w:pPr>
        <w:pStyle w:val="BulletList"/>
        <w:bidi w:val="0"/>
        <w:spacing w:lineRule="auto" w:line="240"/>
        <w:ind w:hanging="0" w:left="720"/>
        <w:jc w:val="left"/>
        <w:rPr>
          <w:lang w:val="en-US"/>
        </w:rPr>
      </w:pPr>
      <w:r>
        <w:rPr>
          <w:lang w:val="en-US"/>
        </w:rPr>
      </w:r>
    </w:p>
    <w:p>
      <w:pPr>
        <w:pStyle w:val="BulletList"/>
        <w:bidi w:val="0"/>
        <w:spacing w:lineRule="auto" w:line="240"/>
        <w:ind w:hanging="0" w:left="0"/>
        <w:jc w:val="left"/>
        <w:rPr>
          <w:b/>
          <w:lang w:val="en-US"/>
        </w:rPr>
      </w:pPr>
      <w:r>
        <w:rPr>
          <w:b/>
          <w:sz w:val="24"/>
          <w:lang w:val="en-US"/>
        </w:rPr>
        <w:t>The Negative Injunction:  “Be sure there is not any darkness in you.” (11:</w:t>
      </w:r>
      <w:r>
        <w:rPr>
          <w:b/>
          <w:sz w:val="24"/>
          <w:lang w:val="en-US"/>
        </w:rPr>
        <w:t>35)</w:t>
      </w:r>
    </w:p>
    <w:p>
      <w:pPr>
        <w:pStyle w:val="BulletList"/>
        <w:bidi w:val="0"/>
        <w:spacing w:lineRule="auto" w:line="240"/>
        <w:ind w:hanging="0" w:left="0"/>
        <w:jc w:val="left"/>
        <w:rPr>
          <w:lang w:val="en-US"/>
        </w:rPr>
      </w:pPr>
      <w:r>
        <w:rPr>
          <w:lang w:val="en-US"/>
        </w:rPr>
      </w:r>
    </w:p>
    <w:p>
      <w:pPr>
        <w:pStyle w:val="BulletList"/>
        <w:bidi w:val="0"/>
        <w:spacing w:lineRule="auto" w:line="240"/>
        <w:ind w:hanging="0" w:left="0"/>
        <w:jc w:val="center"/>
        <w:rPr>
          <w:i/>
          <w:i/>
          <w:iCs/>
        </w:rPr>
      </w:pPr>
      <w:r>
        <w:rPr>
          <w:i/>
          <w:iCs/>
          <w:sz w:val="24"/>
          <w:lang w:val="en-US"/>
        </w:rPr>
        <w:t xml:space="preserve">What is </w:t>
      </w:r>
      <w:r>
        <w:rPr>
          <w:i/>
          <w:iCs/>
          <w:sz w:val="24"/>
          <w:lang w:val="en-US"/>
        </w:rPr>
        <w:t xml:space="preserve">this </w:t>
      </w:r>
      <w:r>
        <w:rPr>
          <w:i/>
          <w:iCs/>
          <w:sz w:val="24"/>
          <w:lang w:val="en-US"/>
        </w:rPr>
        <w:t xml:space="preserve">darkness </w:t>
      </w:r>
      <w:r>
        <w:rPr>
          <w:i/>
          <w:iCs/>
          <w:sz w:val="24"/>
          <w:lang w:val="en-US"/>
        </w:rPr>
        <w:t xml:space="preserve">of which Jesus speaks </w:t>
      </w:r>
      <w:r>
        <w:rPr>
          <w:i/>
          <w:iCs/>
          <w:sz w:val="24"/>
          <w:lang w:val="en-US"/>
        </w:rPr>
        <w:t>in this parable?</w:t>
      </w:r>
    </w:p>
    <w:p>
      <w:pPr>
        <w:pStyle w:val="BulletList"/>
        <w:numPr>
          <w:ilvl w:val="0"/>
          <w:numId w:val="2"/>
        </w:numPr>
        <w:bidi w:val="0"/>
        <w:spacing w:lineRule="auto" w:line="240"/>
        <w:jc w:val="left"/>
        <w:rPr>
          <w:lang w:val="en-US"/>
        </w:rPr>
      </w:pPr>
      <w:r>
        <w:rPr>
          <w:sz w:val="24"/>
          <w:lang w:val="en-US"/>
        </w:rPr>
        <w:t>The context of Luke 11-12 clarify what Luke understood Jesus to mean by “darkness”. In Luke 11:39, the inside of a cup is dark when it is filled with ‘wicked greed’.  [Note: Some translations say “wickedness and greed” but these three words can also be read as a hendiadys, which would read like:  “greedy wickedness” or “wicked greed”.  1 Thessalonians 4:1 is perhaps the clearest example of a hendiadys in Scripture – rather than “to live and to please God”, most translators understand it to mean “to live in such a way as to please God”.]  See also in Luke 12:19-20, where the darkness of night is symbolic of greed.</w:t>
      </w:r>
    </w:p>
    <w:p>
      <w:pPr>
        <w:pStyle w:val="BulletList"/>
        <w:numPr>
          <w:ilvl w:val="0"/>
          <w:numId w:val="2"/>
        </w:numPr>
        <w:bidi w:val="0"/>
        <w:spacing w:lineRule="auto" w:line="240"/>
        <w:jc w:val="left"/>
        <w:rPr>
          <w:lang w:val="en-US"/>
        </w:rPr>
      </w:pPr>
      <w:r>
        <w:rPr>
          <w:sz w:val="24"/>
          <w:lang w:val="en-US"/>
        </w:rPr>
        <w:t>The view of greed in 11:35 is not so much about loving money too much.  In general, Luke’s Gospel (like the Book of Proverbs) is not opposed to pursuit and possession of money.  Rather, the identifying quality of greed is how it distorts the way someone sees other people.  In this understanding of greed, someone is greed if and only if they see someone else as a means to their life goal, or as a barrier to their life goal.</w:t>
      </w:r>
    </w:p>
    <w:p>
      <w:pPr>
        <w:pStyle w:val="BulletList"/>
        <w:numPr>
          <w:ilvl w:val="0"/>
          <w:numId w:val="2"/>
        </w:numPr>
        <w:bidi w:val="0"/>
        <w:spacing w:lineRule="auto" w:line="240"/>
        <w:jc w:val="left"/>
        <w:rPr>
          <w:lang w:val="en-US"/>
        </w:rPr>
      </w:pPr>
      <w:r>
        <w:rPr>
          <w:sz w:val="24"/>
          <w:lang w:val="en-US"/>
        </w:rPr>
        <w:t xml:space="preserve">The claim was made in the sermon based on Matthew </w:t>
      </w:r>
      <w:r>
        <w:rPr>
          <w:sz w:val="24"/>
          <w:lang w:val="en-US"/>
        </w:rPr>
        <w:t>27:62-66, that if the resurrected Christ had appeared to Pilate &amp; Caiaphas (the two men who were responsible for His crucifixion), neither Pilate nor Caiaphas would have ‘seen’ that this was the resurrected Christ.  Rather, they would have ‘seen’ that this was a hoax pulled off by the disciples.  The early Protestant Reformer Martin Luther, in his Heidelberg Disputation #4 &amp; #19 spoke of how God’s works always appear ugly to the greedy, natural eyes of fallen humanity – and Luther even says that natural people hate to see God’s works!  Luther’s point is that sin is a vision problem, and that problem manifests itself in how we see others.</w:t>
      </w:r>
    </w:p>
    <w:p>
      <w:pPr>
        <w:pStyle w:val="BulletList"/>
        <w:numPr>
          <w:ilvl w:val="0"/>
          <w:numId w:val="2"/>
        </w:numPr>
        <w:bidi w:val="0"/>
        <w:spacing w:lineRule="auto" w:line="240"/>
        <w:jc w:val="left"/>
        <w:rPr>
          <w:lang w:val="en-US"/>
        </w:rPr>
      </w:pPr>
      <w:r>
        <w:rPr>
          <w:sz w:val="24"/>
          <w:lang w:val="en-US"/>
        </w:rPr>
        <w:t>The hall of mirrors at the county fair, where your image is distorted in various ways, is an analogy for how greed changes who you truly are in God’s eyes into something entirely different in the eyes of the greedy person.</w:t>
      </w:r>
    </w:p>
    <w:p>
      <w:pPr>
        <w:pStyle w:val="BulletList"/>
        <w:numPr>
          <w:ilvl w:val="0"/>
          <w:numId w:val="2"/>
        </w:numPr>
        <w:bidi w:val="0"/>
        <w:spacing w:lineRule="auto" w:line="240"/>
        <w:jc w:val="left"/>
        <w:rPr>
          <w:lang w:val="en-US"/>
        </w:rPr>
      </w:pPr>
      <w:r>
        <w:rPr>
          <w:b/>
          <w:bCs/>
          <w:sz w:val="24"/>
          <w:lang w:val="en-US"/>
        </w:rPr>
        <w:t xml:space="preserve">Discussion:  </w:t>
      </w:r>
      <w:r>
        <w:rPr>
          <w:sz w:val="24"/>
          <w:lang w:val="en-US"/>
        </w:rPr>
        <w:t>Why is greed unique in distorting one’s perception so deeply that they cannot see God at work in another?</w:t>
      </w:r>
    </w:p>
    <w:p>
      <w:pPr>
        <w:pStyle w:val="BulletList"/>
        <w:bidi w:val="0"/>
        <w:spacing w:lineRule="auto" w:line="240"/>
        <w:ind w:hanging="0" w:left="0" w:right="0"/>
        <w:jc w:val="left"/>
        <w:rPr>
          <w:rFonts w:ascii="Liberation Serif" w:hAnsi="Liberation Serif"/>
          <w:sz w:val="24"/>
          <w:lang w:val="en-US"/>
        </w:rPr>
      </w:pPr>
      <w:r>
        <w:rPr>
          <w:sz w:val="24"/>
          <w:lang w:val="en-US"/>
        </w:rPr>
      </w:r>
    </w:p>
    <w:p>
      <w:pPr>
        <w:pStyle w:val="BulletList"/>
        <w:bidi w:val="0"/>
        <w:spacing w:lineRule="auto" w:line="240"/>
        <w:ind w:hanging="0" w:left="0" w:right="0"/>
        <w:jc w:val="left"/>
        <w:rPr>
          <w:rFonts w:ascii="Liberation Serif" w:hAnsi="Liberation Serif"/>
          <w:b/>
          <w:bCs/>
          <w:sz w:val="24"/>
          <w:lang w:val="en-US"/>
        </w:rPr>
      </w:pPr>
      <w:r>
        <w:rPr>
          <w:b/>
          <w:bCs/>
          <w:sz w:val="24"/>
          <w:lang w:val="en-US"/>
        </w:rPr>
        <w:t>The</w:t>
      </w:r>
      <w:r>
        <w:rPr>
          <w:b/>
          <w:bCs/>
          <w:sz w:val="24"/>
          <w:lang w:val="en-US"/>
        </w:rPr>
        <w:t xml:space="preserve"> Positive Expectation:  “Your whole body will be bright” (11:36)</w:t>
      </w:r>
    </w:p>
    <w:p>
      <w:pPr>
        <w:pStyle w:val="BulletList"/>
        <w:bidi w:val="0"/>
        <w:spacing w:lineRule="auto" w:line="240"/>
        <w:ind w:hanging="0" w:left="0" w:right="0"/>
        <w:jc w:val="left"/>
        <w:rPr>
          <w:rFonts w:ascii="Liberation Serif" w:hAnsi="Liberation Serif"/>
          <w:sz w:val="24"/>
          <w:lang w:val="en-US"/>
        </w:rPr>
      </w:pPr>
      <w:r>
        <w:rPr>
          <w:sz w:val="24"/>
          <w:lang w:val="en-US"/>
        </w:rPr>
      </w:r>
    </w:p>
    <w:p>
      <w:pPr>
        <w:pStyle w:val="BulletList"/>
        <w:bidi w:val="0"/>
        <w:spacing w:lineRule="auto" w:line="240"/>
        <w:ind w:hanging="0" w:left="0" w:right="0"/>
        <w:jc w:val="center"/>
        <w:rPr>
          <w:rFonts w:ascii="Liberation Serif" w:hAnsi="Liberation Serif"/>
          <w:i/>
          <w:i/>
          <w:iCs/>
          <w:sz w:val="24"/>
          <w:lang w:val="en-US"/>
        </w:rPr>
      </w:pPr>
      <w:r>
        <w:rPr>
          <w:i/>
          <w:iCs/>
          <w:sz w:val="24"/>
          <w:lang w:val="en-US"/>
        </w:rPr>
        <w:t>How are we transformed by seeing the resurrected Christ?</w:t>
      </w:r>
    </w:p>
    <w:p>
      <w:pPr>
        <w:pStyle w:val="BulletList"/>
        <w:numPr>
          <w:ilvl w:val="0"/>
          <w:numId w:val="5"/>
        </w:numPr>
        <w:bidi w:val="0"/>
        <w:spacing w:lineRule="auto" w:line="240"/>
        <w:jc w:val="left"/>
        <w:rPr>
          <w:rFonts w:ascii="Liberation Serif" w:hAnsi="Liberation Serif"/>
          <w:sz w:val="24"/>
          <w:lang w:val="en-US"/>
        </w:rPr>
      </w:pPr>
      <w:r>
        <w:rPr>
          <w:sz w:val="24"/>
          <w:lang w:val="en-US"/>
        </w:rPr>
        <w:t>11:34 makes clear that each person has a “lamp” inside them already.  What is being emphasized here is the biblical teaching that God has placed in each and every person an internal sensitivity to His presence in other people.  Sometimes, Scripture calls this “conscience” (as in Proverbs 20:27, which is what Luke is quoting here in 11:36), other times it is called “the eyes of the heart” (see Ephesians 1:18) or “inner being” (Ephesians 3:16).  The Reformer John Calvin called it the “sensus divinitatis” (sense of the divine).</w:t>
      </w:r>
    </w:p>
    <w:p>
      <w:pPr>
        <w:pStyle w:val="BulletList"/>
        <w:numPr>
          <w:ilvl w:val="0"/>
          <w:numId w:val="5"/>
        </w:numPr>
        <w:bidi w:val="0"/>
        <w:spacing w:lineRule="auto" w:line="240"/>
        <w:jc w:val="left"/>
        <w:rPr>
          <w:rFonts w:ascii="Liberation Serif" w:hAnsi="Liberation Serif"/>
          <w:sz w:val="24"/>
          <w:lang w:val="en-US"/>
        </w:rPr>
      </w:pPr>
      <w:r>
        <w:rPr>
          <w:sz w:val="24"/>
          <w:lang w:val="en-US"/>
        </w:rPr>
        <w:t>The basic theme of this passage is how to kindle the resurrection light before we stand before it in all its glory?  According to Greek scholar Daniel Wallace, 11:33 is best translated “No one after kindling a lamp…”  And it is significant to note that the word “shines” at the end of 11:36 is the same word as “dazzling” in Luke 24:4!  Thus, the light spoken of here in this parable is the resurrection light.  Luke’s point is that we see the resurrection light at work in ordinary people – but we need to be careful to foster a sensitivity to its presence within ourselves.</w:t>
      </w:r>
    </w:p>
    <w:p>
      <w:pPr>
        <w:pStyle w:val="BulletList"/>
        <w:numPr>
          <w:ilvl w:val="0"/>
          <w:numId w:val="5"/>
        </w:numPr>
        <w:bidi w:val="0"/>
        <w:spacing w:lineRule="auto" w:line="240"/>
        <w:jc w:val="left"/>
        <w:rPr>
          <w:rFonts w:ascii="Liberation Serif" w:hAnsi="Liberation Serif"/>
          <w:sz w:val="24"/>
          <w:lang w:val="en-US"/>
        </w:rPr>
      </w:pPr>
      <w:r>
        <w:rPr>
          <w:b/>
          <w:bCs/>
          <w:sz w:val="24"/>
          <w:lang w:val="en-US"/>
        </w:rPr>
        <w:t>Discussion:</w:t>
      </w:r>
      <w:r>
        <w:rPr>
          <w:sz w:val="24"/>
          <w:lang w:val="en-US"/>
        </w:rPr>
        <w:t xml:space="preserve">  </w:t>
      </w:r>
      <w:r>
        <w:rPr>
          <w:sz w:val="24"/>
          <w:lang w:val="en-US"/>
        </w:rPr>
        <w:t>How have you grown as a “student of God’s grace” in the lives of others this Lenten season?</w:t>
      </w:r>
    </w:p>
    <w:sectPr>
      <w:type w:val="nextPage"/>
      <w:pgSz w:w="12240" w:h="15840"/>
      <w:pgMar w:left="1440" w:right="1440" w:gutter="0" w:header="0" w:top="1440" w:footer="0" w:bottom="144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OpenSymbol">
    <w:altName w:val="Arial Unicode MS"/>
    <w:charset w:val="02"/>
    <w:family w:val="auto"/>
    <w:pitch w:val="default"/>
  </w:font>
  <w:font w:name="Liberation Sans">
    <w:altName w:val="Arial"/>
    <w:charset w:val="00"/>
    <w:family w:val="roman"/>
    <w:pitch w:val="variable"/>
  </w:font>
  <w:font w:name="Courier New">
    <w:charset w:val="00"/>
    <w:family w:val="roman"/>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numFmt w:val="bullet"/>
      <w:lvlText w:val="·"/>
      <w:lvlJc w:val="left"/>
      <w:pPr>
        <w:tabs>
          <w:tab w:val="num" w:pos="0"/>
        </w:tabs>
        <w:ind w:left="720" w:hanging="431"/>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numFmt w:val="bullet"/>
      <w:lvlText w:val="·"/>
      <w:lvlJc w:val="left"/>
      <w:pPr>
        <w:tabs>
          <w:tab w:val="num" w:pos="0"/>
        </w:tabs>
        <w:ind w:left="720" w:hanging="431"/>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5">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20"/>
  <w:autoHyphenation w:val="true"/>
  <w:hyphenationZone w:val="360"/>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pPr>
    <w:rPr>
      <w:rFonts w:ascii="Times New Roman" w:hAnsi="Times New Roman" w:eastAsia="Arial" w:cs="Dingbats"/>
      <w:color w:val="auto"/>
      <w:kern w:val="2"/>
      <w:sz w:val="24"/>
      <w:szCs w:val="24"/>
      <w:lang w:val="en-US" w:eastAsia="zh-CN" w:bidi="hi-IN"/>
    </w:rPr>
  </w:style>
  <w:style w:type="paragraph" w:styleId="Heading1">
    <w:name w:val="heading 1"/>
    <w:basedOn w:val="Heading"/>
    <w:qFormat/>
    <w:pPr>
      <w:spacing w:before="440" w:after="60"/>
    </w:pPr>
    <w:rPr>
      <w:rFonts w:ascii="Arial" w:hAnsi="Arial"/>
      <w:b/>
      <w:sz w:val="34"/>
    </w:rPr>
  </w:style>
  <w:style w:type="paragraph" w:styleId="Heading2">
    <w:name w:val="heading 2"/>
    <w:basedOn w:val="Heading"/>
    <w:qFormat/>
    <w:pPr>
      <w:spacing w:before="440" w:after="60"/>
    </w:pPr>
    <w:rPr>
      <w:rFonts w:ascii="Arial" w:hAnsi="Arial"/>
      <w:b/>
      <w:sz w:val="28"/>
    </w:rPr>
  </w:style>
  <w:style w:type="paragraph" w:styleId="Heading3">
    <w:name w:val="heading 3"/>
    <w:basedOn w:val="Heading"/>
    <w:qFormat/>
    <w:pPr>
      <w:spacing w:before="440" w:after="60"/>
    </w:pPr>
    <w:rPr>
      <w:rFonts w:ascii="Arial" w:hAnsi="Arial"/>
      <w:b/>
      <w:sz w:val="24"/>
    </w:rPr>
  </w:style>
  <w:style w:type="paragraph" w:styleId="Heading4">
    <w:name w:val="heading 4"/>
    <w:basedOn w:val="Heading"/>
    <w:qFormat/>
    <w:pPr>
      <w:spacing w:before="440" w:after="60"/>
    </w:pPr>
    <w:rPr>
      <w:rFonts w:ascii="Arial" w:hAnsi="Arial"/>
      <w:b/>
      <w:sz w:val="24"/>
    </w:rPr>
  </w:style>
  <w:style w:type="character" w:styleId="Emphasis">
    <w:name w:val="Emphasis"/>
    <w:qFormat/>
    <w:rPr/>
  </w:style>
  <w:style w:type="character" w:styleId="Footnote">
    <w:name w:val="Footnote"/>
    <w:qFormat/>
    <w:rPr>
      <w:sz w:val="20"/>
    </w:rPr>
  </w:style>
  <w:style w:type="character" w:styleId="Reference">
    <w:name w:val="Reference"/>
    <w:qFormat/>
    <w:rPr>
      <w:sz w:val="20"/>
    </w:rPr>
  </w:style>
  <w:style w:type="character" w:styleId="InternetLinkuser">
    <w:name w:val="Internet Link (user)"/>
    <w:qFormat/>
    <w:rPr/>
  </w:style>
  <w:style w:type="character" w:styleId="Endnote">
    <w:name w:val="Endnote"/>
    <w:qFormat/>
    <w:rPr>
      <w:rFonts w:ascii="Times New Roman" w:hAnsi="Times New Roman"/>
      <w:sz w:val="24"/>
    </w:rPr>
  </w:style>
  <w:style w:type="character" w:styleId="Bullets">
    <w:name w:val="Bullets"/>
    <w:qFormat/>
    <w:rPr>
      <w:rFonts w:ascii="OpenSymbol" w:hAnsi="OpenSymbol" w:eastAsia="OpenSymbol" w:cs="OpenSymbol"/>
    </w:rPr>
  </w:style>
  <w:style w:type="character" w:styleId="Hyperlink">
    <w:name w:val="Hyperlink"/>
    <w:rPr>
      <w:color w:val="000080"/>
      <w:u w:val="single"/>
    </w:rPr>
  </w:style>
  <w:style w:type="paragraph" w:styleId="Heading">
    <w:name w:val="Heading"/>
    <w:basedOn w:val="Normal"/>
    <w:next w:val="TextBody"/>
    <w:qFormat/>
    <w:pPr>
      <w:spacing w:before="240" w:after="119"/>
    </w:pPr>
    <w:rPr>
      <w:rFonts w:ascii="Liberation Sans" w:hAnsi="Liberation Sans"/>
      <w:sz w:val="28"/>
      <w:lang w:val="en-US"/>
    </w:rPr>
  </w:style>
  <w:style w:type="paragraph" w:styleId="BodyText">
    <w:name w:val="Body Text"/>
    <w:basedOn w:val="Normal"/>
    <w:pPr>
      <w:spacing w:lineRule="auto" w:line="276" w:before="0" w:after="140"/>
    </w:pPr>
    <w:rPr/>
  </w:style>
  <w:style w:type="paragraph" w:styleId="List">
    <w:name w:val="List"/>
    <w:basedOn w:val="TextBody"/>
    <w:pPr>
      <w:spacing w:lineRule="auto" w:line="276" w:before="0" w:after="139"/>
    </w:pPr>
    <w:rPr>
      <w:rFonts w:ascii="Liberation Serif" w:hAnsi="Liberation Serif"/>
      <w:sz w:val="24"/>
      <w:lang w:val="en-US"/>
    </w:rPr>
  </w:style>
  <w:style w:type="paragraph" w:styleId="Caption">
    <w:name w:val="caption"/>
    <w:basedOn w:val="Normal"/>
    <w:qFormat/>
    <w:pPr>
      <w:spacing w:before="119" w:after="119"/>
    </w:pPr>
    <w:rPr>
      <w:rFonts w:ascii="Liberation Serif" w:hAnsi="Liberation Serif"/>
      <w:i/>
      <w:sz w:val="24"/>
      <w:lang w:val="en-US"/>
    </w:rPr>
  </w:style>
  <w:style w:type="paragraph" w:styleId="Index">
    <w:name w:val="Index"/>
    <w:basedOn w:val="Normal"/>
    <w:qFormat/>
    <w:pPr/>
    <w:rPr>
      <w:rFonts w:ascii="Liberation Serif" w:hAnsi="Liberation Serif"/>
      <w:sz w:val="24"/>
      <w:lang w:val="en-US"/>
    </w:rPr>
  </w:style>
  <w:style w:type="paragraph" w:styleId="ChapterHeading">
    <w:name w:val="Chapter Heading"/>
    <w:qFormat/>
    <w:pPr>
      <w:widowControl w:val="false"/>
      <w:tabs>
        <w:tab w:val="clear" w:pos="720"/>
        <w:tab w:val="left" w:pos="1584" w:leader="none"/>
      </w:tabs>
      <w:bidi w:val="0"/>
    </w:pPr>
    <w:rPr>
      <w:rFonts w:ascii="Liberation Serif" w:hAnsi="Liberation Serif" w:eastAsia="NSimSun" w:cs="Lucida Sans"/>
      <w:color w:val="auto"/>
      <w:kern w:val="2"/>
      <w:sz w:val="24"/>
      <w:szCs w:val="24"/>
      <w:lang w:val="en-US" w:eastAsia="zh-CN" w:bidi="hi-IN"/>
    </w:rPr>
  </w:style>
  <w:style w:type="paragraph" w:styleId="TextBody">
    <w:name w:val="Text Body"/>
    <w:qFormat/>
    <w:pPr>
      <w:widowControl w:val="false"/>
      <w:bidi w:val="0"/>
      <w:spacing w:lineRule="auto" w:line="276" w:before="0" w:after="139"/>
    </w:pPr>
    <w:rPr>
      <w:rFonts w:ascii="Liberation Serif" w:hAnsi="Liberation Serif" w:eastAsia="NSimSun" w:cs="Lucida Sans"/>
      <w:color w:val="auto"/>
      <w:kern w:val="2"/>
      <w:sz w:val="24"/>
      <w:szCs w:val="24"/>
      <w:lang w:val="en-US" w:eastAsia="zh-CN" w:bidi="hi-IN"/>
    </w:rPr>
  </w:style>
  <w:style w:type="paragraph" w:styleId="StarList">
    <w:name w:val="Star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LowerCaseList">
    <w:name w:val="Lower Case List"/>
    <w:qFormat/>
    <w:pPr>
      <w:widowControl w:val="false"/>
      <w:bidi w:val="0"/>
      <w:ind w:hanging="431" w:left="720"/>
    </w:pPr>
    <w:rPr>
      <w:rFonts w:ascii="Liberation Serif" w:hAnsi="Liberation Serif" w:eastAsia="NSimSun" w:cs="Lucida Sans"/>
      <w:color w:val="auto"/>
      <w:kern w:val="2"/>
      <w:sz w:val="24"/>
      <w:szCs w:val="24"/>
      <w:lang w:val="en-US" w:eastAsia="zh-CN" w:bidi="hi-IN"/>
    </w:rPr>
  </w:style>
  <w:style w:type="paragraph" w:styleId="BlockText">
    <w:name w:val="Block Text"/>
    <w:qFormat/>
    <w:pPr>
      <w:widowControl w:val="false"/>
      <w:bidi w:val="0"/>
      <w:spacing w:before="0" w:after="120"/>
      <w:ind w:hanging="0" w:left="1440" w:right="1440"/>
    </w:pPr>
    <w:rPr>
      <w:rFonts w:ascii="Liberation Serif" w:hAnsi="Liberation Serif" w:eastAsia="NSimSun" w:cs="Lucida Sans"/>
      <w:color w:val="auto"/>
      <w:kern w:val="2"/>
      <w:sz w:val="24"/>
      <w:szCs w:val="24"/>
      <w:lang w:val="en-US" w:eastAsia="zh-CN" w:bidi="hi-IN"/>
    </w:rPr>
  </w:style>
  <w:style w:type="paragraph" w:styleId="TriangleList">
    <w:name w:val="Triangle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UpperCaseList">
    <w:name w:val="Upper Case List"/>
    <w:qFormat/>
    <w:pPr>
      <w:widowControl w:val="false"/>
      <w:bidi w:val="0"/>
      <w:ind w:hanging="431" w:left="720"/>
    </w:pPr>
    <w:rPr>
      <w:rFonts w:ascii="Liberation Serif" w:hAnsi="Liberation Serif" w:eastAsia="NSimSun" w:cs="Lucida Sans"/>
      <w:color w:val="auto"/>
      <w:kern w:val="2"/>
      <w:sz w:val="24"/>
      <w:szCs w:val="24"/>
      <w:lang w:val="en-US" w:eastAsia="zh-CN" w:bidi="hi-IN"/>
    </w:rPr>
  </w:style>
  <w:style w:type="paragraph" w:styleId="BulletList">
    <w:name w:val="Bullet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HeartList">
    <w:name w:val="Heart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SquareList">
    <w:name w:val="Square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ContentsHeader">
    <w:name w:val="Contents Header"/>
    <w:qFormat/>
    <w:pPr>
      <w:widowControl w:val="false"/>
      <w:bidi w:val="0"/>
      <w:spacing w:before="240" w:after="120"/>
      <w:jc w:val="center"/>
    </w:pPr>
    <w:rPr>
      <w:rFonts w:ascii="Arial" w:hAnsi="Arial" w:eastAsia="NSimSun" w:cs="Lucida Sans"/>
      <w:b/>
      <w:color w:val="auto"/>
      <w:kern w:val="2"/>
      <w:sz w:val="32"/>
      <w:szCs w:val="24"/>
      <w:lang w:val="en-US" w:eastAsia="zh-CN" w:bidi="hi-IN"/>
    </w:rPr>
  </w:style>
  <w:style w:type="paragraph" w:styleId="NumberedList">
    <w:name w:val="Numbered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DiamondList">
    <w:name w:val="Diamond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HandList">
    <w:name w:val="Hand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UpperRomanList">
    <w:name w:val="Upper Roman List"/>
    <w:basedOn w:val="NumberedList"/>
    <w:qFormat/>
    <w:pPr>
      <w:ind w:hanging="431" w:left="720"/>
    </w:pPr>
    <w:rPr/>
  </w:style>
  <w:style w:type="paragraph" w:styleId="BoxList">
    <w:name w:val="Box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PlainText">
    <w:name w:val="Plain Text"/>
    <w:basedOn w:val="Normal"/>
    <w:qFormat/>
    <w:pPr/>
    <w:rPr>
      <w:rFonts w:ascii="Courier New" w:hAnsi="Courier New"/>
    </w:rPr>
  </w:style>
  <w:style w:type="paragraph" w:styleId="SectionHeading">
    <w:name w:val="Section Heading"/>
    <w:next w:val="Normal"/>
    <w:qFormat/>
    <w:pPr>
      <w:widowControl w:val="false"/>
      <w:tabs>
        <w:tab w:val="clear" w:pos="720"/>
        <w:tab w:val="left" w:pos="1584" w:leader="none"/>
      </w:tabs>
      <w:bidi w:val="0"/>
    </w:pPr>
    <w:rPr>
      <w:rFonts w:ascii="Liberation Serif" w:hAnsi="Liberation Serif" w:eastAsia="NSimSun" w:cs="Lucida Sans"/>
      <w:color w:val="auto"/>
      <w:kern w:val="2"/>
      <w:sz w:val="24"/>
      <w:szCs w:val="24"/>
      <w:lang w:val="en-US" w:eastAsia="zh-CN" w:bidi="hi-IN"/>
    </w:rPr>
  </w:style>
  <w:style w:type="paragraph" w:styleId="ImpliesList">
    <w:name w:val="Implies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TickList">
    <w:name w:val="Tick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DashedList">
    <w:name w:val="Dashed List"/>
    <w:qFormat/>
    <w:pPr>
      <w:widowControl w:val="false"/>
      <w:bidi w:val="0"/>
      <w:ind w:hanging="431" w:left="720"/>
    </w:pPr>
    <w:rPr>
      <w:rFonts w:ascii="Liberation Serif" w:hAnsi="Liberation Serif" w:eastAsia="Arial" w:cs="Dingbats"/>
      <w:color w:val="auto"/>
      <w:kern w:val="2"/>
      <w:sz w:val="24"/>
      <w:szCs w:val="24"/>
      <w:lang w:val="en-US" w:eastAsia="zh-CN" w:bidi="hi-IN"/>
    </w:rPr>
  </w:style>
  <w:style w:type="paragraph" w:styleId="LowerRomanList">
    <w:name w:val="Lower Roman List"/>
    <w:basedOn w:val="Normal"/>
    <w:qFormat/>
    <w:pPr>
      <w:ind w:hanging="431" w:left="720"/>
    </w:pPr>
    <w:rPr/>
  </w:style>
  <w:style w:type="paragraph" w:styleId="NumberedHeading1">
    <w:name w:val="Numbered Heading 1"/>
    <w:basedOn w:val="Heading1"/>
    <w:next w:val="Normal"/>
    <w:qFormat/>
    <w:pPr>
      <w:tabs>
        <w:tab w:val="clear" w:pos="720"/>
        <w:tab w:val="left" w:pos="431" w:leader="none"/>
      </w:tabs>
      <w:spacing w:before="440" w:after="0"/>
    </w:pPr>
    <w:rPr/>
  </w:style>
  <w:style w:type="paragraph" w:styleId="NumberedHeading2">
    <w:name w:val="Numbered Heading 2"/>
    <w:basedOn w:val="Heading2"/>
    <w:next w:val="Normal"/>
    <w:qFormat/>
    <w:pPr>
      <w:tabs>
        <w:tab w:val="clear" w:pos="720"/>
        <w:tab w:val="left" w:pos="431" w:leader="none"/>
      </w:tabs>
      <w:spacing w:before="440" w:after="0"/>
    </w:pPr>
    <w:rPr/>
  </w:style>
  <w:style w:type="paragraph" w:styleId="NumberedHeading3">
    <w:name w:val="Numbered Heading 3"/>
    <w:basedOn w:val="Heading3"/>
    <w:next w:val="Normal"/>
    <w:qFormat/>
    <w:pPr>
      <w:tabs>
        <w:tab w:val="clear" w:pos="720"/>
        <w:tab w:val="left" w:pos="431" w:leader="none"/>
      </w:tabs>
      <w:spacing w:before="440" w:after="0"/>
    </w:pPr>
    <w:rPr/>
  </w:style>
  <w:style w:type="paragraph" w:styleId="Contents1">
    <w:name w:val="Contents 1"/>
    <w:basedOn w:val="Normal"/>
    <w:next w:val="Normal"/>
    <w:qFormat/>
    <w:pPr>
      <w:ind w:hanging="431" w:left="720"/>
    </w:pPr>
    <w:rPr/>
  </w:style>
  <w:style w:type="paragraph" w:styleId="Contents2">
    <w:name w:val="Contents 2"/>
    <w:basedOn w:val="Normal"/>
    <w:next w:val="Normal"/>
    <w:qFormat/>
    <w:pPr>
      <w:ind w:hanging="431" w:left="1440"/>
    </w:pPr>
    <w:rPr/>
  </w:style>
  <w:style w:type="paragraph" w:styleId="Contents3">
    <w:name w:val="Contents 3"/>
    <w:basedOn w:val="Normal"/>
    <w:next w:val="Normal"/>
    <w:qFormat/>
    <w:pPr>
      <w:ind w:hanging="431" w:left="2160"/>
    </w:pPr>
    <w:rPr/>
  </w:style>
  <w:style w:type="paragraph" w:styleId="Contents4">
    <w:name w:val="Contents 4"/>
    <w:basedOn w:val="Normal"/>
    <w:next w:val="Normal"/>
    <w:qFormat/>
    <w:pPr>
      <w:ind w:hanging="431" w:left="288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youtu.be/75143mswKJk?t=1639"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12</TotalTime>
  <Application>LibreOffice/25.2.2.2$Windows_X86_64 LibreOffice_project/7370d4be9e3cf6031a51beef54ff3bda878e3fac</Application>
  <AppVersion>15.0000</AppVersion>
  <Pages>2</Pages>
  <Words>1054</Words>
  <Characters>5093</Characters>
  <CharactersWithSpaces>6160</CharactersWithSpaces>
  <Paragraphs>29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dcterms:modified xsi:type="dcterms:W3CDTF">2025-04-22T14:49:24Z</dcterms:modified>
  <cp:revision>4</cp:revision>
  <dc:subject/>
  <dc:title/>
</cp:coreProperties>
</file>